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FC0DFF">
        <w:rPr>
          <w:rFonts w:ascii="Arial" w:hAnsi="Arial" w:cs="Arial"/>
          <w:b/>
          <w:sz w:val="32"/>
          <w:szCs w:val="32"/>
        </w:rPr>
        <w:t>DECISION</w:t>
      </w:r>
      <w:r w:rsidR="00E270E5" w:rsidRPr="00FC0DFF">
        <w:rPr>
          <w:rFonts w:ascii="Arial" w:hAnsi="Arial" w:cs="Arial"/>
          <w:b/>
          <w:sz w:val="32"/>
          <w:szCs w:val="32"/>
        </w:rPr>
        <w:t>S</w:t>
      </w:r>
      <w:r w:rsidR="00A12928" w:rsidRPr="00FC0DFF">
        <w:rPr>
          <w:rFonts w:ascii="Arial" w:hAnsi="Arial" w:cs="Arial"/>
          <w:b/>
          <w:sz w:val="32"/>
          <w:szCs w:val="32"/>
        </w:rPr>
        <w:t xml:space="preserve"> </w:t>
      </w:r>
      <w:r w:rsidR="000173BF" w:rsidRPr="00FC0DF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574"/>
        <w:gridCol w:w="6350"/>
      </w:tblGrid>
      <w:tr w:rsidR="008E784A" w:rsidTr="009C369A">
        <w:tc>
          <w:tcPr>
            <w:tcW w:w="3574" w:type="dxa"/>
          </w:tcPr>
          <w:p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6350" w:type="dxa"/>
          </w:tcPr>
          <w:p w:rsidR="008E784A" w:rsidRPr="008E784A" w:rsidRDefault="009C369A" w:rsidP="00432107">
            <w:pPr>
              <w:spacing w:after="160" w:line="259" w:lineRule="auto"/>
              <w:ind w:left="-9"/>
              <w:rPr>
                <w:rFonts w:ascii="Arial" w:hAnsi="Arial" w:cs="Arial"/>
              </w:rPr>
            </w:pPr>
            <w:r w:rsidRPr="009C369A">
              <w:rPr>
                <w:rFonts w:ascii="Arial" w:hAnsi="Arial" w:cs="Arial"/>
              </w:rPr>
              <w:t>Enter</w:t>
            </w:r>
            <w:r w:rsidR="00432107">
              <w:rPr>
                <w:rFonts w:ascii="Arial" w:hAnsi="Arial" w:cs="Arial"/>
              </w:rPr>
              <w:t>ing</w:t>
            </w:r>
            <w:r w:rsidRPr="009C369A">
              <w:rPr>
                <w:rFonts w:ascii="Arial" w:hAnsi="Arial" w:cs="Arial"/>
              </w:rPr>
              <w:t xml:space="preserve"> into a land sale agreement and development agreement with Hill Residential Limited to deliver 111 new homes at Oxford North </w:t>
            </w:r>
            <w:r w:rsidR="00D076B7">
              <w:rPr>
                <w:rFonts w:ascii="Arial" w:hAnsi="Arial" w:cs="Arial"/>
              </w:rPr>
              <w:t>(t</w:t>
            </w:r>
            <w:r w:rsidRPr="009C369A">
              <w:rPr>
                <w:rFonts w:ascii="Arial" w:hAnsi="Arial" w:cs="Arial"/>
              </w:rPr>
              <w:t>he Canalside development</w:t>
            </w:r>
            <w:r w:rsidR="00432107">
              <w:rPr>
                <w:rFonts w:ascii="Arial" w:hAnsi="Arial" w:cs="Arial"/>
              </w:rPr>
              <w:t>)</w:t>
            </w:r>
          </w:p>
        </w:tc>
      </w:tr>
      <w:tr w:rsidR="008E784A" w:rsidTr="009C369A">
        <w:tc>
          <w:tcPr>
            <w:tcW w:w="3574" w:type="dxa"/>
          </w:tcPr>
          <w:p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6350" w:type="dxa"/>
          </w:tcPr>
          <w:p w:rsidR="008E784A" w:rsidRPr="00A96C08" w:rsidRDefault="00432107" w:rsidP="00F54410">
            <w:pPr>
              <w:rPr>
                <w:rFonts w:ascii="Arial" w:hAnsi="Arial" w:cs="Arial"/>
              </w:rPr>
            </w:pPr>
            <w:r>
              <w:rPr>
                <w:rFonts w:ascii="Arial" w:hAnsi="Arial" w:cs="Arial"/>
              </w:rPr>
              <w:t>22</w:t>
            </w:r>
            <w:r w:rsidR="00F54410">
              <w:rPr>
                <w:rFonts w:ascii="Arial" w:hAnsi="Arial" w:cs="Arial"/>
              </w:rPr>
              <w:t xml:space="preserve"> </w:t>
            </w:r>
            <w:r w:rsidR="009C369A">
              <w:rPr>
                <w:rFonts w:ascii="Arial" w:hAnsi="Arial" w:cs="Arial"/>
              </w:rPr>
              <w:t>June 2023</w:t>
            </w:r>
          </w:p>
        </w:tc>
      </w:tr>
      <w:tr w:rsidR="008E784A" w:rsidTr="009C369A">
        <w:tc>
          <w:tcPr>
            <w:tcW w:w="3574" w:type="dxa"/>
          </w:tcPr>
          <w:p w:rsidR="008E784A" w:rsidRPr="00854133" w:rsidRDefault="008E784A" w:rsidP="00197078">
            <w:pPr>
              <w:spacing w:before="120" w:after="120"/>
              <w:rPr>
                <w:rFonts w:ascii="Arial" w:hAnsi="Arial" w:cs="Arial"/>
              </w:rPr>
            </w:pPr>
            <w:r>
              <w:rPr>
                <w:rFonts w:ascii="Arial" w:hAnsi="Arial" w:cs="Arial"/>
                <w:b/>
              </w:rPr>
              <w:t xml:space="preserve">Source of delegation: </w:t>
            </w:r>
          </w:p>
        </w:tc>
        <w:tc>
          <w:tcPr>
            <w:tcW w:w="6350" w:type="dxa"/>
          </w:tcPr>
          <w:p w:rsidR="009C369A" w:rsidRPr="00197078" w:rsidRDefault="00785E68" w:rsidP="00432107">
            <w:pPr>
              <w:pStyle w:val="ListParagraph"/>
              <w:ind w:left="19"/>
              <w:rPr>
                <w:rFonts w:ascii="Arial" w:hAnsi="Arial" w:cs="Arial"/>
                <w:color w:val="37474F"/>
              </w:rPr>
            </w:pPr>
            <w:r w:rsidRPr="00DF0373">
              <w:rPr>
                <w:rFonts w:ascii="Arial" w:hAnsi="Arial" w:cs="Arial"/>
              </w:rPr>
              <w:t>Cabinet</w:t>
            </w:r>
            <w:r w:rsidR="00197078" w:rsidRPr="00DF0373">
              <w:rPr>
                <w:rFonts w:ascii="Arial" w:hAnsi="Arial" w:cs="Arial"/>
              </w:rPr>
              <w:t>,</w:t>
            </w:r>
            <w:r w:rsidR="00197078">
              <w:rPr>
                <w:rFonts w:ascii="Arial" w:hAnsi="Arial" w:cs="Arial"/>
                <w:color w:val="37474F"/>
              </w:rPr>
              <w:t xml:space="preserve"> </w:t>
            </w:r>
            <w:hyperlink r:id="rId8" w:history="1">
              <w:r w:rsidR="00197078" w:rsidRPr="00197078">
                <w:rPr>
                  <w:rStyle w:val="Hyperlink"/>
                  <w:rFonts w:ascii="Arial" w:hAnsi="Arial" w:cs="Arial"/>
                </w:rPr>
                <w:t xml:space="preserve">on </w:t>
              </w:r>
              <w:r w:rsidRPr="00197078">
                <w:rPr>
                  <w:rStyle w:val="Hyperlink"/>
                  <w:rFonts w:ascii="Arial" w:hAnsi="Arial" w:cs="Arial"/>
                </w:rPr>
                <w:t>15</w:t>
              </w:r>
              <w:r w:rsidRPr="00197078">
                <w:rPr>
                  <w:rStyle w:val="Hyperlink"/>
                  <w:rFonts w:ascii="Arial" w:hAnsi="Arial" w:cs="Arial"/>
                  <w:vertAlign w:val="superscript"/>
                </w:rPr>
                <w:t>th</w:t>
              </w:r>
              <w:r w:rsidRPr="00197078">
                <w:rPr>
                  <w:rStyle w:val="Hyperlink"/>
                  <w:rFonts w:ascii="Arial" w:hAnsi="Arial" w:cs="Arial"/>
                </w:rPr>
                <w:t xml:space="preserve"> March 2023</w:t>
              </w:r>
            </w:hyperlink>
            <w:r w:rsidRPr="00DF0373">
              <w:rPr>
                <w:rFonts w:ascii="Arial" w:hAnsi="Arial" w:cs="Arial"/>
              </w:rPr>
              <w:t>, resolved to:</w:t>
            </w:r>
          </w:p>
          <w:p w:rsidR="009C369A" w:rsidRPr="00D076B7" w:rsidRDefault="009C369A" w:rsidP="00432107">
            <w:pPr>
              <w:ind w:left="19"/>
              <w:rPr>
                <w:rFonts w:ascii="Arial" w:hAnsi="Arial" w:cs="Arial"/>
                <w:color w:val="37474F"/>
              </w:rPr>
            </w:pPr>
          </w:p>
          <w:p w:rsidR="001728B8" w:rsidRPr="00DF0373" w:rsidRDefault="009C369A" w:rsidP="00C17B5E">
            <w:pPr>
              <w:pStyle w:val="ListParagraph"/>
              <w:ind w:left="19"/>
              <w:rPr>
                <w:rFonts w:ascii="Arial" w:hAnsi="Arial" w:cs="Arial"/>
              </w:rPr>
            </w:pPr>
            <w:r w:rsidRPr="00DF0373">
              <w:rPr>
                <w:rFonts w:ascii="Arial" w:hAnsi="Arial" w:cs="Arial"/>
              </w:rPr>
              <w:t>2.    Delegate authority to the Executive Director (Development), in consultation with the Executive Director (Communities and People); the Cabinet Member for Housing; the Head of Financial Services/Section 151 Officer; and the Head of Law and Governance/Monitoring Officer, to finalise the scheme design and financial appraisals and enter into agreements and contracts to facilitate the agreed purchase by the Council of the affordable housing (to be held in the HRA) and any associated land, within the identified budget, for the provision of the affordable housing (111 affordable homes) on the Oxford North developmen</w:t>
            </w:r>
            <w:r w:rsidR="00C17B5E" w:rsidRPr="00DF0373">
              <w:rPr>
                <w:rFonts w:ascii="Arial" w:hAnsi="Arial" w:cs="Arial"/>
              </w:rPr>
              <w:t>t, within the project approval.</w:t>
            </w:r>
          </w:p>
          <w:p w:rsidR="001728B8" w:rsidRPr="00D3394A" w:rsidRDefault="001728B8" w:rsidP="001728B8">
            <w:pPr>
              <w:pStyle w:val="ListParagraph"/>
              <w:ind w:left="360"/>
              <w:rPr>
                <w:rFonts w:ascii="Arial" w:hAnsi="Arial" w:cs="Arial"/>
              </w:rPr>
            </w:pPr>
            <w:r>
              <w:rPr>
                <w:rFonts w:ascii="Arial" w:hAnsi="Arial" w:cs="Arial"/>
              </w:rPr>
              <w:t xml:space="preserve">   </w:t>
            </w:r>
          </w:p>
        </w:tc>
      </w:tr>
      <w:tr w:rsidR="008E784A" w:rsidTr="009C369A">
        <w:tc>
          <w:tcPr>
            <w:tcW w:w="3574" w:type="dxa"/>
          </w:tcPr>
          <w:p w:rsidR="008E784A" w:rsidRPr="00B87695" w:rsidRDefault="008E784A" w:rsidP="00197078">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350" w:type="dxa"/>
          </w:tcPr>
          <w:p w:rsidR="00432107" w:rsidRDefault="00432107" w:rsidP="00432107">
            <w:pPr>
              <w:rPr>
                <w:rFonts w:ascii="Arial" w:hAnsi="Arial" w:cs="Arial"/>
              </w:rPr>
            </w:pPr>
            <w:r w:rsidRPr="004A0709">
              <w:rPr>
                <w:rFonts w:ascii="Arial" w:hAnsi="Arial" w:cs="Arial"/>
              </w:rPr>
              <w:t>T</w:t>
            </w:r>
            <w:r>
              <w:rPr>
                <w:rFonts w:ascii="Arial" w:hAnsi="Arial" w:cs="Arial"/>
              </w:rPr>
              <w:t>o enter into a land sale agreement and development agreement with Hill Residential Ltd for the purpose of purchasing 111 new affordable homes for the HRA.</w:t>
            </w:r>
          </w:p>
          <w:p w:rsidR="00432107" w:rsidRDefault="00432107" w:rsidP="009C369A">
            <w:pPr>
              <w:autoSpaceDE w:val="0"/>
              <w:autoSpaceDN w:val="0"/>
              <w:adjustRightInd w:val="0"/>
              <w:spacing w:line="259" w:lineRule="auto"/>
              <w:rPr>
                <w:rFonts w:ascii="Arial" w:hAnsi="Arial" w:cs="Arial"/>
              </w:rPr>
            </w:pPr>
          </w:p>
          <w:p w:rsidR="009B752E" w:rsidRPr="00A96C08" w:rsidRDefault="009B752E" w:rsidP="00432107">
            <w:pPr>
              <w:autoSpaceDE w:val="0"/>
              <w:autoSpaceDN w:val="0"/>
              <w:adjustRightInd w:val="0"/>
              <w:spacing w:line="259" w:lineRule="auto"/>
              <w:rPr>
                <w:rFonts w:ascii="Arial" w:hAnsi="Arial" w:cs="Arial"/>
              </w:rPr>
            </w:pPr>
          </w:p>
        </w:tc>
      </w:tr>
      <w:tr w:rsidR="008E784A" w:rsidTr="009C369A">
        <w:tc>
          <w:tcPr>
            <w:tcW w:w="3574" w:type="dxa"/>
          </w:tcPr>
          <w:p w:rsidR="008E784A" w:rsidRPr="00373F5D" w:rsidRDefault="008E784A" w:rsidP="00197078">
            <w:pPr>
              <w:spacing w:before="120" w:after="120"/>
              <w:rPr>
                <w:rFonts w:ascii="Arial" w:hAnsi="Arial" w:cs="Arial"/>
              </w:rPr>
            </w:pPr>
            <w:r>
              <w:rPr>
                <w:rFonts w:ascii="Arial" w:hAnsi="Arial" w:cs="Arial"/>
                <w:b/>
              </w:rPr>
              <w:t xml:space="preserve">Purpose: </w:t>
            </w:r>
          </w:p>
        </w:tc>
        <w:tc>
          <w:tcPr>
            <w:tcW w:w="6350" w:type="dxa"/>
          </w:tcPr>
          <w:p w:rsidR="00432107" w:rsidRPr="009B752E" w:rsidRDefault="00432107" w:rsidP="00432107">
            <w:pPr>
              <w:autoSpaceDE w:val="0"/>
              <w:autoSpaceDN w:val="0"/>
              <w:adjustRightInd w:val="0"/>
              <w:spacing w:line="259" w:lineRule="auto"/>
              <w:rPr>
                <w:rFonts w:ascii="Arial" w:hAnsi="Arial" w:cs="Arial"/>
              </w:rPr>
            </w:pPr>
            <w:r>
              <w:rPr>
                <w:rFonts w:ascii="Arial" w:hAnsi="Arial" w:cs="Arial"/>
              </w:rPr>
              <w:t xml:space="preserve">Cabinet, </w:t>
            </w:r>
            <w:hyperlink r:id="rId9" w:history="1">
              <w:r w:rsidRPr="001F0391">
                <w:rPr>
                  <w:rStyle w:val="Hyperlink"/>
                  <w:rFonts w:ascii="Arial" w:hAnsi="Arial" w:cs="Arial"/>
                </w:rPr>
                <w:t>on 15 March 2023</w:t>
              </w:r>
            </w:hyperlink>
            <w:r w:rsidR="00914A1D">
              <w:rPr>
                <w:rFonts w:ascii="Arial" w:hAnsi="Arial" w:cs="Arial"/>
              </w:rPr>
              <w:t xml:space="preserve"> (‘Delivery of Affordable Housing’) </w:t>
            </w:r>
            <w:r w:rsidR="001F0391">
              <w:rPr>
                <w:rFonts w:ascii="Arial" w:hAnsi="Arial" w:cs="Arial"/>
              </w:rPr>
              <w:t>gave</w:t>
            </w:r>
            <w:r>
              <w:rPr>
                <w:rFonts w:ascii="Arial" w:hAnsi="Arial" w:cs="Arial"/>
              </w:rPr>
              <w:t xml:space="preserve"> pr</w:t>
            </w:r>
            <w:r w:rsidRPr="009C369A">
              <w:rPr>
                <w:rFonts w:ascii="Arial" w:hAnsi="Arial" w:cs="Arial"/>
              </w:rPr>
              <w:t>oject approval for the acquisition of affordable dwellings developed by Oxford City Homes Ltd (OCHL) f</w:t>
            </w:r>
            <w:r>
              <w:rPr>
                <w:rFonts w:ascii="Arial" w:hAnsi="Arial" w:cs="Arial"/>
              </w:rPr>
              <w:t>or which budgetary provision had</w:t>
            </w:r>
            <w:r w:rsidRPr="009C369A">
              <w:rPr>
                <w:rFonts w:ascii="Arial" w:hAnsi="Arial" w:cs="Arial"/>
              </w:rPr>
              <w:t xml:space="preserve"> been made in the Council’s Housin</w:t>
            </w:r>
            <w:r w:rsidR="001F0391">
              <w:rPr>
                <w:rFonts w:ascii="Arial" w:hAnsi="Arial" w:cs="Arial"/>
              </w:rPr>
              <w:t xml:space="preserve">g Revenue Account in respect of </w:t>
            </w:r>
            <w:r w:rsidRPr="009C369A">
              <w:rPr>
                <w:rFonts w:ascii="Arial" w:hAnsi="Arial" w:cs="Arial"/>
              </w:rPr>
              <w:t xml:space="preserve">Oxford North (referenced in paragraphs 9 to 18 of the </w:t>
            </w:r>
            <w:hyperlink r:id="rId10" w:history="1">
              <w:r w:rsidRPr="001F0391">
                <w:rPr>
                  <w:rStyle w:val="Hyperlink"/>
                  <w:rFonts w:ascii="Arial" w:hAnsi="Arial" w:cs="Arial"/>
                </w:rPr>
                <w:t>report</w:t>
              </w:r>
            </w:hyperlink>
            <w:r w:rsidRPr="009C369A">
              <w:rPr>
                <w:rFonts w:ascii="Arial" w:hAnsi="Arial" w:cs="Arial"/>
              </w:rPr>
              <w:t>)</w:t>
            </w:r>
            <w:r w:rsidR="001F0391">
              <w:rPr>
                <w:rFonts w:ascii="Arial" w:hAnsi="Arial" w:cs="Arial"/>
              </w:rPr>
              <w:t>, and delegated</w:t>
            </w:r>
            <w:r>
              <w:rPr>
                <w:rFonts w:ascii="Arial" w:hAnsi="Arial" w:cs="Arial"/>
              </w:rPr>
              <w:t xml:space="preserve"> a</w:t>
            </w:r>
            <w:r w:rsidR="001F0391">
              <w:rPr>
                <w:rFonts w:ascii="Arial" w:hAnsi="Arial" w:cs="Arial"/>
              </w:rPr>
              <w:t xml:space="preserve">uthority to </w:t>
            </w:r>
            <w:r w:rsidR="00C17B5E">
              <w:rPr>
                <w:rFonts w:ascii="Arial" w:hAnsi="Arial" w:cs="Arial"/>
              </w:rPr>
              <w:t xml:space="preserve">officers to </w:t>
            </w:r>
            <w:r w:rsidR="001F0391">
              <w:rPr>
                <w:rFonts w:ascii="Arial" w:hAnsi="Arial" w:cs="Arial"/>
              </w:rPr>
              <w:t>facilitate this.</w:t>
            </w:r>
          </w:p>
          <w:p w:rsidR="00432107" w:rsidRDefault="00432107" w:rsidP="00432107">
            <w:pPr>
              <w:shd w:val="clear" w:color="auto" w:fill="FFFFFF"/>
              <w:ind w:left="5"/>
              <w:rPr>
                <w:rFonts w:ascii="Arial" w:hAnsi="Arial" w:cs="Arial"/>
              </w:rPr>
            </w:pPr>
          </w:p>
          <w:p w:rsidR="00432107" w:rsidRPr="00432107" w:rsidRDefault="001F0391" w:rsidP="001F0391">
            <w:pPr>
              <w:shd w:val="clear" w:color="auto" w:fill="FFFFFF"/>
              <w:rPr>
                <w:rFonts w:ascii="Arial" w:hAnsi="Arial" w:cs="Arial"/>
              </w:rPr>
            </w:pPr>
            <w:r>
              <w:rPr>
                <w:rFonts w:ascii="Arial" w:hAnsi="Arial" w:cs="Arial"/>
              </w:rPr>
              <w:t>The decision</w:t>
            </w:r>
            <w:r w:rsidR="00432107" w:rsidRPr="00432107">
              <w:rPr>
                <w:rFonts w:ascii="Arial" w:hAnsi="Arial" w:cs="Arial"/>
              </w:rPr>
              <w:t xml:space="preserve"> enable</w:t>
            </w:r>
            <w:r>
              <w:rPr>
                <w:rFonts w:ascii="Arial" w:hAnsi="Arial" w:cs="Arial"/>
              </w:rPr>
              <w:t>s</w:t>
            </w:r>
            <w:r w:rsidR="00432107" w:rsidRPr="00432107">
              <w:rPr>
                <w:rFonts w:ascii="Arial" w:hAnsi="Arial" w:cs="Arial"/>
              </w:rPr>
              <w:t xml:space="preserve"> the delivery of 111 affordable housing units for the City Council/HRA. This is an important contribution of units to the City Council’s affordable homes delivery programme.</w:t>
            </w:r>
          </w:p>
          <w:p w:rsidR="00D076B7" w:rsidRPr="004A0709" w:rsidRDefault="00D076B7" w:rsidP="00432107">
            <w:pPr>
              <w:rPr>
                <w:rFonts w:ascii="Arial" w:hAnsi="Arial" w:cs="Arial"/>
              </w:rPr>
            </w:pPr>
          </w:p>
        </w:tc>
      </w:tr>
      <w:tr w:rsidR="008E784A" w:rsidTr="009C369A">
        <w:tc>
          <w:tcPr>
            <w:tcW w:w="3574" w:type="dxa"/>
          </w:tcPr>
          <w:p w:rsidR="008E784A" w:rsidRPr="008E4629" w:rsidRDefault="008E784A" w:rsidP="00197078">
            <w:pPr>
              <w:spacing w:before="120" w:after="120"/>
              <w:rPr>
                <w:rFonts w:ascii="Arial" w:hAnsi="Arial" w:cs="Arial"/>
              </w:rPr>
            </w:pPr>
            <w:r>
              <w:rPr>
                <w:rFonts w:ascii="Arial" w:hAnsi="Arial" w:cs="Arial"/>
                <w:b/>
              </w:rPr>
              <w:t xml:space="preserve">Reasons: </w:t>
            </w:r>
          </w:p>
        </w:tc>
        <w:tc>
          <w:tcPr>
            <w:tcW w:w="6350" w:type="dxa"/>
          </w:tcPr>
          <w:p w:rsidR="008E784A" w:rsidRDefault="00E163DD" w:rsidP="00E163DD">
            <w:pPr>
              <w:rPr>
                <w:rFonts w:ascii="Arial" w:hAnsi="Arial" w:cs="Arial"/>
              </w:rPr>
            </w:pPr>
            <w:r>
              <w:rPr>
                <w:rFonts w:ascii="Arial" w:hAnsi="Arial" w:cs="Arial"/>
              </w:rPr>
              <w:t>Based on the financial appraisal, it can be shown that the purchase of these new homes will fall within the financial parameters and that they offer good value for money.</w:t>
            </w:r>
            <w:r w:rsidR="0077441B">
              <w:rPr>
                <w:rFonts w:ascii="Arial" w:hAnsi="Arial" w:cs="Arial"/>
              </w:rPr>
              <w:t xml:space="preserve"> </w:t>
            </w:r>
            <w:r>
              <w:rPr>
                <w:rFonts w:ascii="Arial" w:hAnsi="Arial" w:cs="Arial"/>
              </w:rPr>
              <w:t>This increases the housing stock for the Council/ HRA.</w:t>
            </w:r>
          </w:p>
          <w:p w:rsidR="00E163DD" w:rsidRDefault="00E163DD" w:rsidP="00D076B7">
            <w:pPr>
              <w:rPr>
                <w:rFonts w:ascii="Arial" w:hAnsi="Arial" w:cs="Arial"/>
              </w:rPr>
            </w:pPr>
            <w:r w:rsidRPr="00E163DD">
              <w:rPr>
                <w:rFonts w:ascii="Arial" w:hAnsi="Arial" w:cs="Arial"/>
              </w:rPr>
              <w:t>The scheme is included in the capital programme and business plans, with budgetary provision identified in th</w:t>
            </w:r>
            <w:r w:rsidR="001C75AE">
              <w:rPr>
                <w:rFonts w:ascii="Arial" w:hAnsi="Arial" w:cs="Arial"/>
              </w:rPr>
              <w:t>e Council 2023/24 budget and MT</w:t>
            </w:r>
            <w:r w:rsidRPr="00E163DD">
              <w:rPr>
                <w:rFonts w:ascii="Arial" w:hAnsi="Arial" w:cs="Arial"/>
              </w:rPr>
              <w:t>F</w:t>
            </w:r>
            <w:r w:rsidR="001C75AE">
              <w:rPr>
                <w:rFonts w:ascii="Arial" w:hAnsi="Arial" w:cs="Arial"/>
              </w:rPr>
              <w:t>P</w:t>
            </w:r>
            <w:bookmarkStart w:id="0" w:name="_GoBack"/>
            <w:bookmarkEnd w:id="0"/>
            <w:r w:rsidRPr="00E163DD">
              <w:rPr>
                <w:rFonts w:ascii="Arial" w:hAnsi="Arial" w:cs="Arial"/>
              </w:rPr>
              <w:t xml:space="preserve"> (February 2023).  </w:t>
            </w:r>
          </w:p>
          <w:p w:rsidR="00D076B7" w:rsidRPr="00A96C08" w:rsidRDefault="00D076B7" w:rsidP="00D076B7">
            <w:pPr>
              <w:rPr>
                <w:rFonts w:ascii="Arial" w:hAnsi="Arial" w:cs="Arial"/>
              </w:rPr>
            </w:pPr>
          </w:p>
        </w:tc>
      </w:tr>
      <w:tr w:rsidR="008E784A" w:rsidTr="009C369A">
        <w:tc>
          <w:tcPr>
            <w:tcW w:w="3574" w:type="dxa"/>
          </w:tcPr>
          <w:p w:rsidR="008E784A" w:rsidRPr="00B87695" w:rsidRDefault="008E784A" w:rsidP="00197078">
            <w:pPr>
              <w:spacing w:before="120" w:after="120"/>
              <w:rPr>
                <w:rFonts w:ascii="Arial" w:hAnsi="Arial" w:cs="Arial"/>
              </w:rPr>
            </w:pPr>
            <w:r w:rsidRPr="00B87695">
              <w:rPr>
                <w:rFonts w:ascii="Arial" w:hAnsi="Arial" w:cs="Arial"/>
                <w:b/>
              </w:rPr>
              <w:lastRenderedPageBreak/>
              <w:t>Decision made by:</w:t>
            </w:r>
          </w:p>
        </w:tc>
        <w:tc>
          <w:tcPr>
            <w:tcW w:w="6350" w:type="dxa"/>
          </w:tcPr>
          <w:p w:rsidR="008E784A" w:rsidRPr="00E04237" w:rsidRDefault="0034793E" w:rsidP="008E784A">
            <w:pPr>
              <w:rPr>
                <w:rFonts w:ascii="Arial" w:hAnsi="Arial" w:cs="Arial"/>
              </w:rPr>
            </w:pPr>
            <w:r>
              <w:rPr>
                <w:rFonts w:ascii="Arial" w:hAnsi="Arial" w:cs="Arial"/>
              </w:rPr>
              <w:t xml:space="preserve">Tom Bridgman, </w:t>
            </w:r>
            <w:r w:rsidR="00432107">
              <w:rPr>
                <w:rFonts w:ascii="Arial" w:hAnsi="Arial" w:cs="Arial"/>
              </w:rPr>
              <w:t>Executive Director (Development)</w:t>
            </w:r>
          </w:p>
          <w:p w:rsidR="00745FB0" w:rsidRPr="00E04237" w:rsidRDefault="00745FB0" w:rsidP="00432107">
            <w:pPr>
              <w:rPr>
                <w:rFonts w:ascii="Arial" w:hAnsi="Arial" w:cs="Arial"/>
              </w:rPr>
            </w:pPr>
          </w:p>
        </w:tc>
      </w:tr>
      <w:tr w:rsidR="008E784A" w:rsidTr="009C369A">
        <w:tc>
          <w:tcPr>
            <w:tcW w:w="3574" w:type="dxa"/>
          </w:tcPr>
          <w:p w:rsidR="008E784A" w:rsidRDefault="008E784A" w:rsidP="00197078">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6350" w:type="dxa"/>
          </w:tcPr>
          <w:p w:rsidR="008E784A" w:rsidRDefault="00C17B5E" w:rsidP="008E784A">
            <w:pPr>
              <w:rPr>
                <w:rFonts w:ascii="Arial" w:hAnsi="Arial" w:cs="Arial"/>
              </w:rPr>
            </w:pPr>
            <w:r>
              <w:rPr>
                <w:rFonts w:ascii="Arial" w:hAnsi="Arial" w:cs="Arial"/>
              </w:rPr>
              <w:t xml:space="preserve">Not to enter into the land sale and development agreement.  This option was rejected as it would not </w:t>
            </w:r>
            <w:r w:rsidRPr="00432107">
              <w:rPr>
                <w:rFonts w:ascii="Arial" w:hAnsi="Arial" w:cs="Arial"/>
              </w:rPr>
              <w:t>enable the delivery of 111 affordable housing units for the City Council/HRA.</w:t>
            </w:r>
          </w:p>
          <w:p w:rsidR="00C17B5E" w:rsidRPr="00A96C08" w:rsidRDefault="00C17B5E" w:rsidP="008E784A">
            <w:pPr>
              <w:rPr>
                <w:rFonts w:ascii="Arial" w:hAnsi="Arial" w:cs="Arial"/>
              </w:rPr>
            </w:pPr>
          </w:p>
        </w:tc>
      </w:tr>
      <w:tr w:rsidR="008E784A" w:rsidTr="009C369A">
        <w:trPr>
          <w:trHeight w:val="1018"/>
        </w:trPr>
        <w:tc>
          <w:tcPr>
            <w:tcW w:w="3574" w:type="dxa"/>
          </w:tcPr>
          <w:p w:rsidR="008E784A" w:rsidRPr="00C678ED" w:rsidRDefault="008E784A" w:rsidP="00197078">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6350" w:type="dxa"/>
          </w:tcPr>
          <w:p w:rsidR="008E784A" w:rsidRPr="00A96C08" w:rsidRDefault="00C17B5E" w:rsidP="00D076B7">
            <w:pPr>
              <w:rPr>
                <w:rFonts w:ascii="Arial" w:hAnsi="Arial" w:cs="Arial"/>
              </w:rPr>
            </w:pPr>
            <w:r>
              <w:rPr>
                <w:rFonts w:ascii="Arial" w:hAnsi="Arial" w:cs="Arial"/>
              </w:rPr>
              <w:t xml:space="preserve">Scheme appraisal </w:t>
            </w:r>
            <w:r w:rsidR="00D72F84">
              <w:rPr>
                <w:rFonts w:ascii="Arial" w:hAnsi="Arial" w:cs="Arial"/>
              </w:rPr>
              <w:t>report</w:t>
            </w:r>
            <w:r w:rsidR="00D076B7">
              <w:rPr>
                <w:rFonts w:ascii="Arial" w:hAnsi="Arial" w:cs="Arial"/>
              </w:rPr>
              <w:t xml:space="preserve"> </w:t>
            </w:r>
            <w:r>
              <w:rPr>
                <w:rFonts w:ascii="Arial" w:hAnsi="Arial" w:cs="Arial"/>
              </w:rPr>
              <w:t>and appendix (exempt, commercially sensitive).</w:t>
            </w:r>
          </w:p>
        </w:tc>
      </w:tr>
      <w:tr w:rsidR="008E784A" w:rsidTr="009C369A">
        <w:tc>
          <w:tcPr>
            <w:tcW w:w="3574" w:type="dxa"/>
          </w:tcPr>
          <w:p w:rsidR="008E784A" w:rsidRDefault="008E784A" w:rsidP="00197078">
            <w:pPr>
              <w:spacing w:before="120" w:after="120"/>
              <w:rPr>
                <w:rFonts w:ascii="Arial" w:hAnsi="Arial" w:cs="Arial"/>
                <w:b/>
              </w:rPr>
            </w:pPr>
            <w:r>
              <w:rPr>
                <w:rFonts w:ascii="Arial" w:hAnsi="Arial" w:cs="Arial"/>
                <w:b/>
              </w:rPr>
              <w:t>Key or Not Key:</w:t>
            </w:r>
          </w:p>
        </w:tc>
        <w:tc>
          <w:tcPr>
            <w:tcW w:w="6350" w:type="dxa"/>
          </w:tcPr>
          <w:p w:rsidR="008E784A" w:rsidRPr="00A96C08" w:rsidRDefault="008E784A" w:rsidP="008E784A">
            <w:pPr>
              <w:rPr>
                <w:rFonts w:ascii="Arial" w:hAnsi="Arial" w:cs="Arial"/>
              </w:rPr>
            </w:pPr>
            <w:r>
              <w:rPr>
                <w:rFonts w:ascii="Arial" w:hAnsi="Arial" w:cs="Arial"/>
              </w:rPr>
              <w:t>Key</w:t>
            </w:r>
            <w:r w:rsidR="00197078">
              <w:rPr>
                <w:rFonts w:ascii="Arial" w:hAnsi="Arial" w:cs="Arial"/>
              </w:rPr>
              <w:t xml:space="preserve"> (savings or expenditure over £500k)</w:t>
            </w:r>
          </w:p>
        </w:tc>
      </w:tr>
      <w:tr w:rsidR="008E784A" w:rsidTr="009C369A">
        <w:tc>
          <w:tcPr>
            <w:tcW w:w="3574" w:type="dxa"/>
          </w:tcPr>
          <w:p w:rsidR="008E784A" w:rsidRPr="00F54410" w:rsidRDefault="008E784A" w:rsidP="00197078">
            <w:pPr>
              <w:spacing w:before="120" w:after="120"/>
              <w:rPr>
                <w:rFonts w:ascii="Arial" w:hAnsi="Arial" w:cs="Arial"/>
              </w:rPr>
            </w:pPr>
            <w:r w:rsidRPr="00F54410">
              <w:rPr>
                <w:rFonts w:ascii="Arial" w:hAnsi="Arial" w:cs="Arial"/>
                <w:b/>
              </w:rPr>
              <w:t>Wards significantly affected:</w:t>
            </w:r>
            <w:r w:rsidRPr="00F54410">
              <w:rPr>
                <w:rFonts w:ascii="Arial" w:hAnsi="Arial" w:cs="Arial"/>
              </w:rPr>
              <w:t xml:space="preserve"> </w:t>
            </w:r>
          </w:p>
        </w:tc>
        <w:tc>
          <w:tcPr>
            <w:tcW w:w="6350" w:type="dxa"/>
          </w:tcPr>
          <w:p w:rsidR="008E784A" w:rsidRPr="00F54410" w:rsidRDefault="00197078" w:rsidP="00F54410">
            <w:pPr>
              <w:rPr>
                <w:rFonts w:ascii="Arial" w:hAnsi="Arial" w:cs="Arial"/>
              </w:rPr>
            </w:pPr>
            <w:r>
              <w:rPr>
                <w:rFonts w:ascii="Arial" w:hAnsi="Arial" w:cs="Arial"/>
              </w:rPr>
              <w:t>None</w:t>
            </w:r>
          </w:p>
        </w:tc>
      </w:tr>
      <w:tr w:rsidR="008E784A" w:rsidTr="009C369A">
        <w:tc>
          <w:tcPr>
            <w:tcW w:w="3574" w:type="dxa"/>
          </w:tcPr>
          <w:p w:rsidR="008E784A" w:rsidRPr="006F6326" w:rsidRDefault="008E784A" w:rsidP="0019707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6350" w:type="dxa"/>
          </w:tcPr>
          <w:p w:rsidR="008E784A" w:rsidRPr="00A96C08" w:rsidRDefault="008E784A" w:rsidP="008E784A">
            <w:pPr>
              <w:rPr>
                <w:rFonts w:ascii="Arial" w:hAnsi="Arial" w:cs="Arial"/>
              </w:rPr>
            </w:pPr>
            <w:r>
              <w:rPr>
                <w:rFonts w:ascii="Arial" w:hAnsi="Arial" w:cs="Arial"/>
              </w:rPr>
              <w:t>None</w:t>
            </w:r>
          </w:p>
        </w:tc>
      </w:tr>
      <w:tr w:rsidR="008E784A" w:rsidTr="009C369A">
        <w:tc>
          <w:tcPr>
            <w:tcW w:w="3574" w:type="dxa"/>
          </w:tcPr>
          <w:p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rsidR="008E784A" w:rsidRDefault="008E784A" w:rsidP="008E784A">
            <w:pPr>
              <w:spacing w:before="120" w:after="120"/>
              <w:rPr>
                <w:rFonts w:ascii="Arial" w:hAnsi="Arial" w:cs="Arial"/>
                <w:b/>
              </w:rPr>
            </w:pPr>
            <w:r w:rsidRPr="003505E0">
              <w:rPr>
                <w:rFonts w:ascii="Arial" w:hAnsi="Arial" w:cs="Arial"/>
                <w:b/>
              </w:rPr>
              <w:t>Date:</w:t>
            </w:r>
          </w:p>
        </w:tc>
        <w:tc>
          <w:tcPr>
            <w:tcW w:w="6350" w:type="dxa"/>
          </w:tcPr>
          <w:p w:rsidR="008E784A" w:rsidRDefault="00E163DD" w:rsidP="008E784A">
            <w:pPr>
              <w:rPr>
                <w:rFonts w:ascii="Arial" w:hAnsi="Arial" w:cs="Arial"/>
              </w:rPr>
            </w:pPr>
            <w:r>
              <w:rPr>
                <w:rFonts w:ascii="Arial" w:hAnsi="Arial" w:cs="Arial"/>
              </w:rPr>
              <w:t>Kenny Phillips</w:t>
            </w:r>
          </w:p>
          <w:p w:rsidR="008E784A" w:rsidRDefault="002F636D" w:rsidP="009B752E">
            <w:pPr>
              <w:rPr>
                <w:rFonts w:ascii="Arial" w:hAnsi="Arial" w:cs="Arial"/>
              </w:rPr>
            </w:pPr>
            <w:r>
              <w:rPr>
                <w:rFonts w:ascii="Arial" w:hAnsi="Arial" w:cs="Arial"/>
              </w:rPr>
              <w:t>Development Manager</w:t>
            </w:r>
          </w:p>
          <w:p w:rsidR="002F636D" w:rsidRDefault="002F636D" w:rsidP="009B752E">
            <w:pPr>
              <w:rPr>
                <w:rFonts w:ascii="Arial" w:hAnsi="Arial" w:cs="Arial"/>
              </w:rPr>
            </w:pPr>
          </w:p>
          <w:p w:rsidR="002F636D" w:rsidRPr="00A96C08" w:rsidRDefault="00E04237" w:rsidP="00E163DD">
            <w:pPr>
              <w:rPr>
                <w:rFonts w:ascii="Arial" w:hAnsi="Arial" w:cs="Arial"/>
              </w:rPr>
            </w:pPr>
            <w:r>
              <w:rPr>
                <w:rFonts w:ascii="Arial" w:hAnsi="Arial" w:cs="Arial"/>
              </w:rPr>
              <w:t>1</w:t>
            </w:r>
            <w:r w:rsidR="00E163DD">
              <w:rPr>
                <w:rFonts w:ascii="Arial" w:hAnsi="Arial" w:cs="Arial"/>
              </w:rPr>
              <w:t xml:space="preserve">5 June </w:t>
            </w:r>
            <w:r w:rsidR="00B613CD">
              <w:rPr>
                <w:rFonts w:ascii="Arial" w:hAnsi="Arial" w:cs="Arial"/>
              </w:rPr>
              <w:t>2023</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197078" w:rsidRPr="00A96C08" w:rsidTr="00BF240D">
        <w:trPr>
          <w:trHeight w:val="516"/>
        </w:trPr>
        <w:tc>
          <w:tcPr>
            <w:tcW w:w="3828" w:type="dxa"/>
            <w:vAlign w:val="center"/>
          </w:tcPr>
          <w:p w:rsidR="00197078" w:rsidRPr="00405321" w:rsidRDefault="00197078" w:rsidP="00BF240D">
            <w:pPr>
              <w:spacing w:before="120" w:after="120"/>
              <w:rPr>
                <w:rFonts w:ascii="Arial" w:hAnsi="Arial" w:cs="Arial"/>
                <w:b/>
              </w:rPr>
            </w:pPr>
            <w:r>
              <w:rPr>
                <w:rFonts w:ascii="Arial" w:hAnsi="Arial" w:cs="Arial"/>
                <w:b/>
              </w:rPr>
              <w:t>Decision maker</w:t>
            </w:r>
          </w:p>
        </w:tc>
        <w:tc>
          <w:tcPr>
            <w:tcW w:w="4111" w:type="dxa"/>
            <w:vAlign w:val="center"/>
          </w:tcPr>
          <w:p w:rsidR="00197078" w:rsidRDefault="00197078" w:rsidP="009177C6">
            <w:pPr>
              <w:spacing w:after="160" w:line="259" w:lineRule="auto"/>
              <w:jc w:val="both"/>
              <w:rPr>
                <w:rFonts w:ascii="Arial" w:hAnsi="Arial" w:cs="Arial"/>
              </w:rPr>
            </w:pPr>
            <w:r>
              <w:rPr>
                <w:rFonts w:ascii="Arial" w:hAnsi="Arial" w:cs="Arial"/>
              </w:rPr>
              <w:t>Tom Bridgman, Executive Director (Development)</w:t>
            </w:r>
          </w:p>
          <w:p w:rsidR="00197078" w:rsidRDefault="00432107" w:rsidP="009177C6">
            <w:pPr>
              <w:spacing w:after="160" w:line="259" w:lineRule="auto"/>
              <w:jc w:val="both"/>
              <w:rPr>
                <w:rFonts w:ascii="Arial" w:hAnsi="Arial" w:cs="Arial"/>
              </w:rPr>
            </w:pPr>
            <w:r w:rsidRPr="004D63E5">
              <w:rPr>
                <w:rFonts w:ascii="Arial" w:hAnsi="Arial" w:cs="Arial"/>
                <w:noProof/>
              </w:rPr>
              <w:drawing>
                <wp:inline distT="0" distB="0" distL="0" distR="0" wp14:anchorId="17DD9D5F" wp14:editId="2BEAF671">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3302" cy="853514"/>
                          </a:xfrm>
                          <a:prstGeom prst="rect">
                            <a:avLst/>
                          </a:prstGeom>
                        </pic:spPr>
                      </pic:pic>
                    </a:graphicData>
                  </a:graphic>
                </wp:inline>
              </w:drawing>
            </w:r>
          </w:p>
        </w:tc>
        <w:tc>
          <w:tcPr>
            <w:tcW w:w="1984" w:type="dxa"/>
            <w:vAlign w:val="center"/>
          </w:tcPr>
          <w:p w:rsidR="00197078" w:rsidRDefault="00432107" w:rsidP="00DD4885">
            <w:pPr>
              <w:rPr>
                <w:rFonts w:ascii="Arial" w:hAnsi="Arial" w:cs="Arial"/>
              </w:rPr>
            </w:pPr>
            <w:r>
              <w:rPr>
                <w:rFonts w:ascii="Arial" w:hAnsi="Arial" w:cs="Arial"/>
              </w:rPr>
              <w:t>22</w:t>
            </w:r>
            <w:r w:rsidR="00197078">
              <w:rPr>
                <w:rFonts w:ascii="Arial" w:hAnsi="Arial" w:cs="Arial"/>
              </w:rPr>
              <w:t>/06/2023</w:t>
            </w:r>
          </w:p>
        </w:tc>
      </w:tr>
    </w:tbl>
    <w:p w:rsidR="00197078" w:rsidRDefault="00197078"/>
    <w:p w:rsidR="00432107" w:rsidRDefault="00432107">
      <w:pPr>
        <w:rPr>
          <w:rFonts w:ascii="Arial" w:hAnsi="Arial" w:cs="Arial"/>
          <w:b/>
        </w:rPr>
      </w:pPr>
    </w:p>
    <w:p w:rsidR="00432107" w:rsidRDefault="00432107">
      <w:pPr>
        <w:rPr>
          <w:rFonts w:ascii="Arial" w:hAnsi="Arial" w:cs="Arial"/>
          <w:b/>
        </w:rPr>
      </w:pPr>
    </w:p>
    <w:p w:rsidR="00432107" w:rsidRDefault="00432107">
      <w:pPr>
        <w:rPr>
          <w:rFonts w:ascii="Arial" w:hAnsi="Arial" w:cs="Arial"/>
          <w:b/>
        </w:rPr>
      </w:pPr>
    </w:p>
    <w:p w:rsidR="00197078" w:rsidRPr="00197078" w:rsidRDefault="00197078">
      <w:pPr>
        <w:rPr>
          <w:rFonts w:ascii="Arial" w:hAnsi="Arial" w:cs="Arial"/>
          <w:b/>
        </w:rPr>
      </w:pPr>
      <w:r w:rsidRPr="00197078">
        <w:rPr>
          <w:rFonts w:ascii="Arial" w:hAnsi="Arial" w:cs="Arial"/>
          <w:b/>
        </w:rPr>
        <w:t>Consultee checklist</w:t>
      </w:r>
    </w:p>
    <w:p w:rsidR="00197078" w:rsidRDefault="00197078"/>
    <w:tbl>
      <w:tblPr>
        <w:tblStyle w:val="TableGrid"/>
        <w:tblW w:w="9923" w:type="dxa"/>
        <w:tblInd w:w="-289" w:type="dxa"/>
        <w:tblLook w:val="04A0" w:firstRow="1" w:lastRow="0" w:firstColumn="1" w:lastColumn="0" w:noHBand="0" w:noVBand="1"/>
      </w:tblPr>
      <w:tblGrid>
        <w:gridCol w:w="3828"/>
        <w:gridCol w:w="4111"/>
        <w:gridCol w:w="1984"/>
      </w:tblGrid>
      <w:tr w:rsidR="00197078" w:rsidRPr="00A96C08" w:rsidTr="00BF240D">
        <w:trPr>
          <w:trHeight w:val="516"/>
        </w:trPr>
        <w:tc>
          <w:tcPr>
            <w:tcW w:w="3828" w:type="dxa"/>
            <w:vAlign w:val="center"/>
          </w:tcPr>
          <w:p w:rsidR="00197078" w:rsidRPr="00405321" w:rsidRDefault="00197078" w:rsidP="00BF240D">
            <w:pPr>
              <w:spacing w:before="120" w:after="120"/>
              <w:rPr>
                <w:rFonts w:ascii="Arial" w:hAnsi="Arial" w:cs="Arial"/>
                <w:b/>
              </w:rPr>
            </w:pPr>
            <w:r>
              <w:rPr>
                <w:rFonts w:ascii="Arial" w:hAnsi="Arial" w:cs="Arial"/>
                <w:b/>
              </w:rPr>
              <w:t>Senior officer</w:t>
            </w:r>
          </w:p>
        </w:tc>
        <w:tc>
          <w:tcPr>
            <w:tcW w:w="4111" w:type="dxa"/>
            <w:vAlign w:val="center"/>
          </w:tcPr>
          <w:p w:rsidR="00197078" w:rsidRDefault="00197078" w:rsidP="009177C6">
            <w:pPr>
              <w:spacing w:after="160" w:line="259" w:lineRule="auto"/>
              <w:jc w:val="both"/>
              <w:rPr>
                <w:rFonts w:ascii="Arial" w:hAnsi="Arial" w:cs="Arial"/>
              </w:rPr>
            </w:pPr>
            <w:r>
              <w:rPr>
                <w:rFonts w:ascii="Arial" w:hAnsi="Arial" w:cs="Arial"/>
              </w:rPr>
              <w:t>Peter Matthew, Interim Executive Director (People and Communities)</w:t>
            </w:r>
          </w:p>
        </w:tc>
        <w:tc>
          <w:tcPr>
            <w:tcW w:w="1984" w:type="dxa"/>
            <w:vAlign w:val="center"/>
          </w:tcPr>
          <w:p w:rsidR="00197078" w:rsidRDefault="00197078" w:rsidP="00DD4885">
            <w:pPr>
              <w:rPr>
                <w:rFonts w:ascii="Arial" w:hAnsi="Arial" w:cs="Arial"/>
              </w:rPr>
            </w:pPr>
            <w:r>
              <w:rPr>
                <w:rFonts w:ascii="Arial" w:hAnsi="Arial" w:cs="Arial"/>
              </w:rPr>
              <w:t>20/06/2023</w:t>
            </w:r>
          </w:p>
        </w:tc>
      </w:tr>
      <w:tr w:rsidR="00DD4885" w:rsidRPr="00A96C08" w:rsidTr="00BF240D">
        <w:trPr>
          <w:trHeight w:val="516"/>
        </w:trPr>
        <w:tc>
          <w:tcPr>
            <w:tcW w:w="3828" w:type="dxa"/>
            <w:vAlign w:val="center"/>
          </w:tcPr>
          <w:p w:rsidR="00DD4885" w:rsidRPr="00BF240D" w:rsidRDefault="00DD4885" w:rsidP="00197078">
            <w:pPr>
              <w:spacing w:before="120" w:after="120"/>
              <w:rPr>
                <w:rFonts w:ascii="Arial" w:hAnsi="Arial" w:cs="Arial"/>
              </w:rPr>
            </w:pPr>
            <w:r w:rsidRPr="00405321">
              <w:rPr>
                <w:rFonts w:ascii="Arial" w:hAnsi="Arial" w:cs="Arial"/>
                <w:b/>
              </w:rPr>
              <w:t>Senior officer</w:t>
            </w:r>
          </w:p>
        </w:tc>
        <w:tc>
          <w:tcPr>
            <w:tcW w:w="4111" w:type="dxa"/>
            <w:vAlign w:val="center"/>
          </w:tcPr>
          <w:p w:rsidR="009177C6" w:rsidRPr="00A96C08" w:rsidRDefault="009177C6" w:rsidP="00432107">
            <w:pPr>
              <w:spacing w:after="160" w:line="259" w:lineRule="auto"/>
              <w:jc w:val="both"/>
              <w:rPr>
                <w:rFonts w:ascii="Arial" w:hAnsi="Arial" w:cs="Arial"/>
              </w:rPr>
            </w:pPr>
            <w:r w:rsidRPr="009177C6">
              <w:rPr>
                <w:rFonts w:ascii="Arial" w:hAnsi="Arial" w:cs="Arial"/>
              </w:rPr>
              <w:t>Dave Scholes – Affordable Housing Supply Corporate Lead</w:t>
            </w:r>
          </w:p>
        </w:tc>
        <w:tc>
          <w:tcPr>
            <w:tcW w:w="1984" w:type="dxa"/>
            <w:vAlign w:val="center"/>
          </w:tcPr>
          <w:p w:rsidR="00964CA5" w:rsidRDefault="00964CA5" w:rsidP="00DD4885">
            <w:pPr>
              <w:rPr>
                <w:rFonts w:ascii="Arial" w:hAnsi="Arial" w:cs="Arial"/>
              </w:rPr>
            </w:pPr>
          </w:p>
          <w:p w:rsidR="00FB745F" w:rsidRDefault="00964CA5" w:rsidP="00DD4885">
            <w:pPr>
              <w:rPr>
                <w:rFonts w:ascii="Arial" w:hAnsi="Arial" w:cs="Arial"/>
              </w:rPr>
            </w:pPr>
            <w:r>
              <w:rPr>
                <w:rFonts w:ascii="Arial" w:hAnsi="Arial" w:cs="Arial"/>
              </w:rPr>
              <w:t>19/06/</w:t>
            </w:r>
            <w:r w:rsidR="00432107">
              <w:rPr>
                <w:rFonts w:ascii="Arial" w:hAnsi="Arial" w:cs="Arial"/>
              </w:rPr>
              <w:t>20</w:t>
            </w:r>
            <w:r>
              <w:rPr>
                <w:rFonts w:ascii="Arial" w:hAnsi="Arial" w:cs="Arial"/>
              </w:rPr>
              <w:t>23</w:t>
            </w:r>
          </w:p>
          <w:p w:rsidR="00DD4885" w:rsidRPr="00A96C08" w:rsidRDefault="00DD4885" w:rsidP="00DD4885">
            <w:pPr>
              <w:rPr>
                <w:rFonts w:ascii="Arial" w:hAnsi="Arial" w:cs="Arial"/>
              </w:rPr>
            </w:pPr>
          </w:p>
        </w:tc>
      </w:tr>
      <w:tr w:rsidR="00DD4885" w:rsidRPr="00A96C08" w:rsidTr="00197078">
        <w:tc>
          <w:tcPr>
            <w:tcW w:w="3828" w:type="dxa"/>
          </w:tcPr>
          <w:p w:rsidR="00DD4885" w:rsidRPr="00BF240D" w:rsidRDefault="00DD4885" w:rsidP="00197078">
            <w:pPr>
              <w:spacing w:before="120"/>
              <w:rPr>
                <w:rFonts w:ascii="Arial" w:hAnsi="Arial" w:cs="Arial"/>
              </w:rPr>
            </w:pPr>
            <w:r w:rsidRPr="00405321">
              <w:rPr>
                <w:rFonts w:ascii="Arial" w:hAnsi="Arial" w:cs="Arial"/>
                <w:b/>
              </w:rPr>
              <w:t>Head of Financial Services</w:t>
            </w:r>
          </w:p>
        </w:tc>
        <w:tc>
          <w:tcPr>
            <w:tcW w:w="4111" w:type="dxa"/>
          </w:tcPr>
          <w:p w:rsidR="00DD4885" w:rsidRDefault="002F636D" w:rsidP="00550775">
            <w:pPr>
              <w:rPr>
                <w:rFonts w:ascii="Arial" w:hAnsi="Arial" w:cs="Arial"/>
              </w:rPr>
            </w:pPr>
            <w:r>
              <w:rPr>
                <w:rFonts w:ascii="Arial" w:hAnsi="Arial" w:cs="Arial"/>
              </w:rPr>
              <w:t>Nigel Kennedy</w:t>
            </w:r>
            <w:r w:rsidR="00197078">
              <w:rPr>
                <w:rFonts w:ascii="Arial" w:hAnsi="Arial" w:cs="Arial"/>
              </w:rPr>
              <w:t>, Head of Financial Services</w:t>
            </w:r>
          </w:p>
          <w:p w:rsidR="00432107" w:rsidRDefault="00432107" w:rsidP="00550775">
            <w:pPr>
              <w:rPr>
                <w:rFonts w:ascii="Arial" w:hAnsi="Arial" w:cs="Arial"/>
              </w:rPr>
            </w:pPr>
          </w:p>
          <w:p w:rsidR="00432107" w:rsidRDefault="00432107" w:rsidP="00550775">
            <w:pPr>
              <w:rPr>
                <w:rFonts w:ascii="Arial" w:hAnsi="Arial" w:cs="Arial"/>
              </w:rPr>
            </w:pPr>
            <w:r w:rsidRPr="00EA6048">
              <w:rPr>
                <w:noProof/>
              </w:rPr>
              <w:lastRenderedPageBreak/>
              <w:drawing>
                <wp:inline distT="0" distB="0" distL="0" distR="0" wp14:anchorId="68AE19B8" wp14:editId="7A1DA59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rsidR="00197078" w:rsidRPr="00550775" w:rsidRDefault="00197078" w:rsidP="00550775">
            <w:pPr>
              <w:rPr>
                <w:rFonts w:ascii="Arial" w:hAnsi="Arial" w:cs="Arial"/>
              </w:rPr>
            </w:pPr>
          </w:p>
        </w:tc>
        <w:tc>
          <w:tcPr>
            <w:tcW w:w="1984" w:type="dxa"/>
            <w:vAlign w:val="center"/>
          </w:tcPr>
          <w:p w:rsidR="00DD4885" w:rsidRPr="00A96C08" w:rsidRDefault="00964CA5" w:rsidP="00DD4885">
            <w:pPr>
              <w:rPr>
                <w:rFonts w:ascii="Arial" w:hAnsi="Arial" w:cs="Arial"/>
              </w:rPr>
            </w:pPr>
            <w:r>
              <w:rPr>
                <w:rFonts w:ascii="Arial" w:hAnsi="Arial" w:cs="Arial"/>
              </w:rPr>
              <w:lastRenderedPageBreak/>
              <w:t>20/06/</w:t>
            </w:r>
            <w:r w:rsidR="00432107">
              <w:rPr>
                <w:rFonts w:ascii="Arial" w:hAnsi="Arial" w:cs="Arial"/>
              </w:rPr>
              <w:t>20</w:t>
            </w:r>
            <w:r>
              <w:rPr>
                <w:rFonts w:ascii="Arial" w:hAnsi="Arial" w:cs="Arial"/>
              </w:rPr>
              <w:t>23</w:t>
            </w:r>
          </w:p>
        </w:tc>
      </w:tr>
      <w:tr w:rsidR="00DD4885" w:rsidRPr="00A96C08" w:rsidTr="00197078">
        <w:tc>
          <w:tcPr>
            <w:tcW w:w="3828" w:type="dxa"/>
            <w:vAlign w:val="center"/>
          </w:tcPr>
          <w:p w:rsidR="00DD4885" w:rsidRPr="00405321" w:rsidRDefault="00DD4885" w:rsidP="00197078">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tcPr>
          <w:p w:rsidR="00964CA5" w:rsidRDefault="00125D2F" w:rsidP="00DD4885">
            <w:pPr>
              <w:rPr>
                <w:rFonts w:ascii="Arial" w:hAnsi="Arial" w:cs="Arial"/>
              </w:rPr>
            </w:pPr>
            <w:r>
              <w:rPr>
                <w:rFonts w:ascii="Arial" w:hAnsi="Arial" w:cs="Arial"/>
              </w:rPr>
              <w:t>Marcia Eccleston</w:t>
            </w:r>
            <w:r w:rsidR="00197078">
              <w:rPr>
                <w:rFonts w:ascii="Arial" w:hAnsi="Arial" w:cs="Arial"/>
              </w:rPr>
              <w:t>, Deputy Monitoring Officer</w:t>
            </w:r>
          </w:p>
          <w:p w:rsidR="00197078" w:rsidRPr="00550775" w:rsidRDefault="00197078" w:rsidP="00DD4885">
            <w:pPr>
              <w:rPr>
                <w:rFonts w:ascii="Arial" w:hAnsi="Arial" w:cs="Arial"/>
              </w:rPr>
            </w:pPr>
          </w:p>
        </w:tc>
        <w:tc>
          <w:tcPr>
            <w:tcW w:w="1984" w:type="dxa"/>
            <w:vAlign w:val="center"/>
          </w:tcPr>
          <w:p w:rsidR="00DD4885" w:rsidRPr="00A96C08" w:rsidRDefault="00964CA5" w:rsidP="00DD4885">
            <w:pPr>
              <w:rPr>
                <w:rFonts w:ascii="Arial" w:hAnsi="Arial" w:cs="Arial"/>
              </w:rPr>
            </w:pPr>
            <w:r>
              <w:rPr>
                <w:rFonts w:ascii="Arial" w:hAnsi="Arial" w:cs="Arial"/>
              </w:rPr>
              <w:t>22/06/</w:t>
            </w:r>
            <w:r w:rsidR="00432107">
              <w:rPr>
                <w:rFonts w:ascii="Arial" w:hAnsi="Arial" w:cs="Arial"/>
              </w:rPr>
              <w:t>20</w:t>
            </w:r>
            <w:r>
              <w:rPr>
                <w:rFonts w:ascii="Arial" w:hAnsi="Arial" w:cs="Arial"/>
              </w:rPr>
              <w:t>23</w:t>
            </w:r>
          </w:p>
        </w:tc>
      </w:tr>
      <w:tr w:rsidR="00DD4885" w:rsidRPr="00A96C08" w:rsidTr="00BF240D">
        <w:trPr>
          <w:trHeight w:val="562"/>
        </w:trPr>
        <w:tc>
          <w:tcPr>
            <w:tcW w:w="3828" w:type="dxa"/>
            <w:vAlign w:val="center"/>
          </w:tcPr>
          <w:p w:rsidR="00DD4885" w:rsidRPr="00405321" w:rsidRDefault="00DD4885" w:rsidP="00197078">
            <w:pPr>
              <w:spacing w:before="120" w:after="120"/>
              <w:rPr>
                <w:rFonts w:ascii="Arial" w:hAnsi="Arial" w:cs="Arial"/>
                <w:b/>
              </w:rPr>
            </w:pPr>
            <w:r w:rsidRPr="00405321">
              <w:rPr>
                <w:rFonts w:ascii="Arial" w:hAnsi="Arial" w:cs="Arial"/>
                <w:b/>
              </w:rPr>
              <w:t>Cabinet Member</w:t>
            </w:r>
          </w:p>
        </w:tc>
        <w:tc>
          <w:tcPr>
            <w:tcW w:w="4111" w:type="dxa"/>
            <w:vAlign w:val="center"/>
          </w:tcPr>
          <w:p w:rsidR="00745FB0" w:rsidRDefault="00C46403" w:rsidP="00C46403">
            <w:pPr>
              <w:rPr>
                <w:rFonts w:ascii="Arial" w:hAnsi="Arial" w:cs="Arial"/>
              </w:rPr>
            </w:pPr>
            <w:r>
              <w:rPr>
                <w:rFonts w:ascii="Arial" w:hAnsi="Arial" w:cs="Arial"/>
              </w:rPr>
              <w:t>Councillor Linda Smith</w:t>
            </w:r>
            <w:r w:rsidR="00197078">
              <w:rPr>
                <w:rFonts w:ascii="Arial" w:hAnsi="Arial" w:cs="Arial"/>
              </w:rPr>
              <w:t xml:space="preserve">, Cabinet Member for Housing </w:t>
            </w:r>
            <w:r w:rsidR="00F60031">
              <w:rPr>
                <w:rFonts w:ascii="Arial" w:hAnsi="Arial" w:cs="Arial"/>
              </w:rPr>
              <w:t xml:space="preserve"> </w:t>
            </w:r>
          </w:p>
          <w:p w:rsidR="00DD4885" w:rsidRPr="00550775" w:rsidRDefault="00DD4885" w:rsidP="00C46403">
            <w:pPr>
              <w:rPr>
                <w:rFonts w:ascii="Arial" w:hAnsi="Arial" w:cs="Arial"/>
              </w:rPr>
            </w:pPr>
          </w:p>
        </w:tc>
        <w:tc>
          <w:tcPr>
            <w:tcW w:w="1984" w:type="dxa"/>
            <w:vAlign w:val="center"/>
          </w:tcPr>
          <w:p w:rsidR="00E54A41" w:rsidRPr="00A96C08" w:rsidRDefault="00964CA5" w:rsidP="00E54A41">
            <w:pPr>
              <w:rPr>
                <w:rFonts w:ascii="Arial" w:hAnsi="Arial" w:cs="Arial"/>
              </w:rPr>
            </w:pPr>
            <w:r>
              <w:rPr>
                <w:rFonts w:ascii="Arial" w:hAnsi="Arial" w:cs="Arial"/>
              </w:rPr>
              <w:t>20/06/</w:t>
            </w:r>
            <w:r w:rsidR="00432107">
              <w:rPr>
                <w:rFonts w:ascii="Arial" w:hAnsi="Arial" w:cs="Arial"/>
              </w:rPr>
              <w:t>20</w:t>
            </w:r>
            <w:r>
              <w:rPr>
                <w:rFonts w:ascii="Arial" w:hAnsi="Arial" w:cs="Arial"/>
              </w:rPr>
              <w:t>23</w:t>
            </w:r>
          </w:p>
        </w:tc>
      </w:tr>
    </w:tbl>
    <w:p w:rsidR="008E4629" w:rsidRDefault="008E4629" w:rsidP="002611EB">
      <w:pPr>
        <w:rPr>
          <w:rFonts w:ascii="Arial" w:hAnsi="Arial" w:cs="Arial"/>
        </w:rPr>
      </w:pPr>
    </w:p>
    <w:p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C8" w:rsidRDefault="00E405C8" w:rsidP="00F11FD1">
      <w:r>
        <w:separator/>
      </w:r>
    </w:p>
  </w:endnote>
  <w:endnote w:type="continuationSeparator" w:id="0">
    <w:p w:rsidR="00E405C8" w:rsidRDefault="00E405C8"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C8" w:rsidRDefault="00E405C8" w:rsidP="00F11FD1">
      <w:r>
        <w:separator/>
      </w:r>
    </w:p>
  </w:footnote>
  <w:footnote w:type="continuationSeparator" w:id="0">
    <w:p w:rsidR="00E405C8" w:rsidRDefault="00E405C8"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5"/>
  </w:num>
  <w:num w:numId="6">
    <w:abstractNumId w:val="7"/>
  </w:num>
  <w:num w:numId="7">
    <w:abstractNumId w:val="6"/>
  </w:num>
  <w:num w:numId="8">
    <w:abstractNumId w:val="9"/>
  </w:num>
  <w:num w:numId="9">
    <w:abstractNumId w:val="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48ED"/>
    <w:rsid w:val="000173BF"/>
    <w:rsid w:val="000445D4"/>
    <w:rsid w:val="0005774E"/>
    <w:rsid w:val="0008133A"/>
    <w:rsid w:val="000B4310"/>
    <w:rsid w:val="000F4239"/>
    <w:rsid w:val="00124E16"/>
    <w:rsid w:val="00125D2F"/>
    <w:rsid w:val="0017020C"/>
    <w:rsid w:val="00170AFD"/>
    <w:rsid w:val="001728B8"/>
    <w:rsid w:val="00197078"/>
    <w:rsid w:val="001C75AE"/>
    <w:rsid w:val="001F0391"/>
    <w:rsid w:val="0021296D"/>
    <w:rsid w:val="00231385"/>
    <w:rsid w:val="00232695"/>
    <w:rsid w:val="00250E84"/>
    <w:rsid w:val="002611EB"/>
    <w:rsid w:val="00263039"/>
    <w:rsid w:val="002A07C9"/>
    <w:rsid w:val="002B53D4"/>
    <w:rsid w:val="002E61DD"/>
    <w:rsid w:val="002F636D"/>
    <w:rsid w:val="00302D8A"/>
    <w:rsid w:val="00327602"/>
    <w:rsid w:val="00330571"/>
    <w:rsid w:val="00335A9B"/>
    <w:rsid w:val="0034793E"/>
    <w:rsid w:val="003505E0"/>
    <w:rsid w:val="003547CD"/>
    <w:rsid w:val="003577D1"/>
    <w:rsid w:val="00373F5D"/>
    <w:rsid w:val="003B1236"/>
    <w:rsid w:val="003B3919"/>
    <w:rsid w:val="004000D7"/>
    <w:rsid w:val="00400135"/>
    <w:rsid w:val="00405321"/>
    <w:rsid w:val="004166D0"/>
    <w:rsid w:val="00424A92"/>
    <w:rsid w:val="00432107"/>
    <w:rsid w:val="004614E6"/>
    <w:rsid w:val="00463AB9"/>
    <w:rsid w:val="0046523A"/>
    <w:rsid w:val="004A049B"/>
    <w:rsid w:val="004A0709"/>
    <w:rsid w:val="004B1944"/>
    <w:rsid w:val="004D7AD0"/>
    <w:rsid w:val="00504E43"/>
    <w:rsid w:val="0052681F"/>
    <w:rsid w:val="00532DF2"/>
    <w:rsid w:val="00550775"/>
    <w:rsid w:val="00594444"/>
    <w:rsid w:val="005C5287"/>
    <w:rsid w:val="005C6416"/>
    <w:rsid w:val="005D3502"/>
    <w:rsid w:val="005E2237"/>
    <w:rsid w:val="005E37E4"/>
    <w:rsid w:val="005E6CFB"/>
    <w:rsid w:val="005E7AED"/>
    <w:rsid w:val="00605388"/>
    <w:rsid w:val="00616F3F"/>
    <w:rsid w:val="006247C4"/>
    <w:rsid w:val="006C7D11"/>
    <w:rsid w:val="006F6326"/>
    <w:rsid w:val="006F6731"/>
    <w:rsid w:val="006F6985"/>
    <w:rsid w:val="00701BF0"/>
    <w:rsid w:val="00720FF1"/>
    <w:rsid w:val="00745FB0"/>
    <w:rsid w:val="00770173"/>
    <w:rsid w:val="0077441B"/>
    <w:rsid w:val="00785E68"/>
    <w:rsid w:val="007908F4"/>
    <w:rsid w:val="00797FC4"/>
    <w:rsid w:val="007D270E"/>
    <w:rsid w:val="007E07B4"/>
    <w:rsid w:val="00801BEB"/>
    <w:rsid w:val="00804BF2"/>
    <w:rsid w:val="00824A2F"/>
    <w:rsid w:val="00834D72"/>
    <w:rsid w:val="00844D21"/>
    <w:rsid w:val="00854133"/>
    <w:rsid w:val="008613FB"/>
    <w:rsid w:val="008676E5"/>
    <w:rsid w:val="00882FEE"/>
    <w:rsid w:val="008900A7"/>
    <w:rsid w:val="00891B19"/>
    <w:rsid w:val="008A22C6"/>
    <w:rsid w:val="008C4C5A"/>
    <w:rsid w:val="008D5901"/>
    <w:rsid w:val="008E4629"/>
    <w:rsid w:val="008E784A"/>
    <w:rsid w:val="00914A1D"/>
    <w:rsid w:val="009177C6"/>
    <w:rsid w:val="00941C0C"/>
    <w:rsid w:val="00964CA5"/>
    <w:rsid w:val="00971C80"/>
    <w:rsid w:val="00986C99"/>
    <w:rsid w:val="009B752E"/>
    <w:rsid w:val="009C369A"/>
    <w:rsid w:val="009F048F"/>
    <w:rsid w:val="009F6401"/>
    <w:rsid w:val="00A12928"/>
    <w:rsid w:val="00A96C08"/>
    <w:rsid w:val="00AC5899"/>
    <w:rsid w:val="00AE42DB"/>
    <w:rsid w:val="00B15340"/>
    <w:rsid w:val="00B519FF"/>
    <w:rsid w:val="00B52EB3"/>
    <w:rsid w:val="00B613CD"/>
    <w:rsid w:val="00B87695"/>
    <w:rsid w:val="00B91363"/>
    <w:rsid w:val="00B928EF"/>
    <w:rsid w:val="00BB3EF4"/>
    <w:rsid w:val="00BD4490"/>
    <w:rsid w:val="00BE1FD4"/>
    <w:rsid w:val="00BF240D"/>
    <w:rsid w:val="00BF66BD"/>
    <w:rsid w:val="00C07F80"/>
    <w:rsid w:val="00C17B5E"/>
    <w:rsid w:val="00C24986"/>
    <w:rsid w:val="00C251F7"/>
    <w:rsid w:val="00C46403"/>
    <w:rsid w:val="00C6130E"/>
    <w:rsid w:val="00C678ED"/>
    <w:rsid w:val="00C86235"/>
    <w:rsid w:val="00CB5E4F"/>
    <w:rsid w:val="00CD4BC9"/>
    <w:rsid w:val="00CE6085"/>
    <w:rsid w:val="00D076B7"/>
    <w:rsid w:val="00D3394A"/>
    <w:rsid w:val="00D33F83"/>
    <w:rsid w:val="00D543D9"/>
    <w:rsid w:val="00D72F84"/>
    <w:rsid w:val="00DB01D4"/>
    <w:rsid w:val="00DC2E8D"/>
    <w:rsid w:val="00DD1A34"/>
    <w:rsid w:val="00DD4885"/>
    <w:rsid w:val="00DD51B2"/>
    <w:rsid w:val="00DF0373"/>
    <w:rsid w:val="00E04237"/>
    <w:rsid w:val="00E127E3"/>
    <w:rsid w:val="00E163DD"/>
    <w:rsid w:val="00E20A54"/>
    <w:rsid w:val="00E270E5"/>
    <w:rsid w:val="00E405C8"/>
    <w:rsid w:val="00E54A41"/>
    <w:rsid w:val="00E5710E"/>
    <w:rsid w:val="00E83484"/>
    <w:rsid w:val="00E97F84"/>
    <w:rsid w:val="00EA19F2"/>
    <w:rsid w:val="00EE4DE3"/>
    <w:rsid w:val="00F11FD1"/>
    <w:rsid w:val="00F42934"/>
    <w:rsid w:val="00F54410"/>
    <w:rsid w:val="00F60031"/>
    <w:rsid w:val="00F63414"/>
    <w:rsid w:val="00F64579"/>
    <w:rsid w:val="00FA07C8"/>
    <w:rsid w:val="00FB176E"/>
    <w:rsid w:val="00FB745F"/>
    <w:rsid w:val="00FC0DFF"/>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paragraph" w:styleId="Heading3">
    <w:name w:val="heading 3"/>
    <w:basedOn w:val="Normal"/>
    <w:link w:val="Heading3Char"/>
    <w:uiPriority w:val="9"/>
    <w:qFormat/>
    <w:rsid w:val="00172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semiHidden/>
    <w:unhideWhenUsed/>
    <w:rsid w:val="003577D1"/>
    <w:rPr>
      <w:sz w:val="20"/>
      <w:szCs w:val="20"/>
    </w:rPr>
  </w:style>
  <w:style w:type="character" w:customStyle="1" w:styleId="CommentTextChar">
    <w:name w:val="Comment Text Char"/>
    <w:basedOn w:val="DefaultParagraphFont"/>
    <w:link w:val="CommentText"/>
    <w:uiPriority w:val="99"/>
    <w:semiHidden/>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1728B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58313579">
      <w:bodyDiv w:val="1"/>
      <w:marLeft w:val="0"/>
      <w:marRight w:val="0"/>
      <w:marTop w:val="0"/>
      <w:marBottom w:val="0"/>
      <w:divBdr>
        <w:top w:val="none" w:sz="0" w:space="0" w:color="auto"/>
        <w:left w:val="none" w:sz="0" w:space="0" w:color="auto"/>
        <w:bottom w:val="none" w:sz="0" w:space="0" w:color="auto"/>
        <w:right w:val="none" w:sz="0" w:space="0" w:color="auto"/>
      </w:divBdr>
      <w:divsChild>
        <w:div w:id="491332980">
          <w:marLeft w:val="0"/>
          <w:marRight w:val="0"/>
          <w:marTop w:val="120"/>
          <w:marBottom w:val="120"/>
          <w:divBdr>
            <w:top w:val="none" w:sz="0" w:space="0" w:color="auto"/>
            <w:left w:val="none" w:sz="0" w:space="0" w:color="auto"/>
            <w:bottom w:val="none" w:sz="0" w:space="0" w:color="auto"/>
            <w:right w:val="none" w:sz="0" w:space="0" w:color="auto"/>
          </w:divBdr>
          <w:divsChild>
            <w:div w:id="21329025">
              <w:marLeft w:val="0"/>
              <w:marRight w:val="0"/>
              <w:marTop w:val="0"/>
              <w:marBottom w:val="0"/>
              <w:divBdr>
                <w:top w:val="none" w:sz="0" w:space="0" w:color="auto"/>
                <w:left w:val="none" w:sz="0" w:space="0" w:color="auto"/>
                <w:bottom w:val="none" w:sz="0" w:space="0" w:color="auto"/>
                <w:right w:val="none" w:sz="0" w:space="0" w:color="auto"/>
              </w:divBdr>
            </w:div>
          </w:divsChild>
        </w:div>
        <w:div w:id="378751830">
          <w:marLeft w:val="0"/>
          <w:marRight w:val="0"/>
          <w:marTop w:val="120"/>
          <w:marBottom w:val="120"/>
          <w:divBdr>
            <w:top w:val="none" w:sz="0" w:space="0" w:color="auto"/>
            <w:left w:val="none" w:sz="0" w:space="0" w:color="auto"/>
            <w:bottom w:val="none" w:sz="0" w:space="0" w:color="auto"/>
            <w:right w:val="none" w:sz="0" w:space="0" w:color="auto"/>
          </w:divBdr>
          <w:divsChild>
            <w:div w:id="159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22&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ouncil.oxford.gov.uk/documents/s72630/Delivery%20of%20Affordable%20Housing.pdf" TargetMode="External"/><Relationship Id="rId4" Type="http://schemas.openxmlformats.org/officeDocument/2006/relationships/settings" Target="settings.xml"/><Relationship Id="rId9" Type="http://schemas.openxmlformats.org/officeDocument/2006/relationships/hyperlink" Target="https://mycouncil.oxford.gov.uk/ieListDocuments.aspx?CId=527&amp;MId=7422&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154B-5398-490A-8966-F6464CC2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366EA2F</Template>
  <TotalTime>41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8</cp:revision>
  <cp:lastPrinted>2015-07-27T09:35:00Z</cp:lastPrinted>
  <dcterms:created xsi:type="dcterms:W3CDTF">2023-06-22T13:42:00Z</dcterms:created>
  <dcterms:modified xsi:type="dcterms:W3CDTF">2023-07-03T06:43:00Z</dcterms:modified>
</cp:coreProperties>
</file>